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F08" w:rsidRDefault="00A12EE1">
      <w:r>
        <w:t xml:space="preserve">Tailoring host cell specific delivery and bioavailability of </w:t>
      </w:r>
      <w:proofErr w:type="spellStart"/>
      <w:r>
        <w:t>antimycobacterial</w:t>
      </w:r>
      <w:proofErr w:type="spellEnd"/>
      <w:r>
        <w:t xml:space="preserve"> compounds</w:t>
      </w:r>
    </w:p>
    <w:p w:rsidR="00A12EE1" w:rsidRDefault="00A12EE1" w:rsidP="00A12EE1"/>
    <w:p w:rsidR="00A12EE1" w:rsidRDefault="00A12EE1" w:rsidP="00A12EE1">
      <w:r>
        <w:t xml:space="preserve">Kata Horváti1, Kinga Fodor2, </w:t>
      </w:r>
      <w:proofErr w:type="spellStart"/>
      <w:r>
        <w:t>Bernadett</w:t>
      </w:r>
      <w:proofErr w:type="spellEnd"/>
      <w:r>
        <w:t xml:space="preserve"> Pályi3, </w:t>
      </w:r>
      <w:proofErr w:type="spellStart"/>
      <w:r w:rsidR="00463EB5">
        <w:t>Judit</w:t>
      </w:r>
      <w:proofErr w:type="spellEnd"/>
      <w:r w:rsidR="00463EB5">
        <w:t xml:space="preserve"> </w:t>
      </w:r>
      <w:proofErr w:type="spellStart"/>
      <w:r w:rsidR="00463EB5">
        <w:t>Henczkó</w:t>
      </w:r>
      <w:proofErr w:type="spellEnd"/>
      <w:r w:rsidR="00463EB5">
        <w:t xml:space="preserve"> 3, </w:t>
      </w:r>
      <w:proofErr w:type="spellStart"/>
      <w:r>
        <w:t>Gyula</w:t>
      </w:r>
      <w:proofErr w:type="spellEnd"/>
      <w:r>
        <w:t xml:space="preserve"> Balka6,</w:t>
      </w:r>
      <w:r w:rsidR="004460DF">
        <w:t xml:space="preserve"> </w:t>
      </w:r>
      <w:proofErr w:type="spellStart"/>
      <w:r w:rsidR="004460DF">
        <w:t>Beáta</w:t>
      </w:r>
      <w:proofErr w:type="spellEnd"/>
      <w:r w:rsidR="004460DF">
        <w:t xml:space="preserve"> Biri1,</w:t>
      </w:r>
      <w:r>
        <w:t xml:space="preserve"> </w:t>
      </w:r>
      <w:proofErr w:type="spellStart"/>
      <w:r w:rsidR="00857364">
        <w:t>Gergő</w:t>
      </w:r>
      <w:proofErr w:type="spellEnd"/>
      <w:r w:rsidR="00857364">
        <w:t xml:space="preserve"> Gyulai5, </w:t>
      </w:r>
      <w:proofErr w:type="spellStart"/>
      <w:r>
        <w:t>Éva</w:t>
      </w:r>
      <w:proofErr w:type="spellEnd"/>
      <w:r>
        <w:t xml:space="preserve"> Kiss</w:t>
      </w:r>
      <w:r w:rsidR="00857364">
        <w:t>5</w:t>
      </w:r>
      <w:r>
        <w:t xml:space="preserve">, </w:t>
      </w:r>
      <w:proofErr w:type="spellStart"/>
      <w:r w:rsidR="00910951">
        <w:t>Senoner</w:t>
      </w:r>
      <w:proofErr w:type="spellEnd"/>
      <w:r w:rsidR="00910951">
        <w:t xml:space="preserve"> Zsuzsa6, </w:t>
      </w:r>
      <w:proofErr w:type="spellStart"/>
      <w:r>
        <w:t>Szabó</w:t>
      </w:r>
      <w:proofErr w:type="spellEnd"/>
      <w:r>
        <w:t xml:space="preserve"> Eleonóra</w:t>
      </w:r>
      <w:r w:rsidR="00857364">
        <w:t>6</w:t>
      </w:r>
      <w:r>
        <w:t xml:space="preserve">, </w:t>
      </w:r>
      <w:proofErr w:type="spellStart"/>
      <w:r>
        <w:t>Szilvia</w:t>
      </w:r>
      <w:proofErr w:type="spellEnd"/>
      <w:r>
        <w:t xml:space="preserve"> Bősze1,</w:t>
      </w:r>
    </w:p>
    <w:p w:rsidR="00A12EE1" w:rsidRDefault="00A12EE1" w:rsidP="00A12EE1"/>
    <w:p w:rsidR="00A12EE1" w:rsidRDefault="00A12EE1" w:rsidP="00A12EE1">
      <w:r>
        <w:t xml:space="preserve">1MTA-ELTE Research Group of Peptide Chemistry, Eötvös L. University; </w:t>
      </w:r>
    </w:p>
    <w:p w:rsidR="00857364" w:rsidRDefault="00A12EE1" w:rsidP="00A12EE1">
      <w:r>
        <w:t xml:space="preserve">2Department of Laboratory Animal Science, University of Veterinary Medicine; </w:t>
      </w:r>
    </w:p>
    <w:p w:rsidR="00A12EE1" w:rsidRDefault="00A12EE1" w:rsidP="00A12EE1">
      <w:r>
        <w:t xml:space="preserve">3Hungarian National Biosafety Laboratory, National Public Health </w:t>
      </w:r>
      <w:r w:rsidR="00857364">
        <w:t>Center</w:t>
      </w:r>
      <w:r>
        <w:t xml:space="preserve">; </w:t>
      </w:r>
    </w:p>
    <w:p w:rsidR="00857364" w:rsidRDefault="00857364" w:rsidP="00857364">
      <w:r>
        <w:t>4Department of Pathology, University of Veterinary Medicine, Budapest, Hungary</w:t>
      </w:r>
    </w:p>
    <w:p w:rsidR="00A12EE1" w:rsidRDefault="00857364" w:rsidP="00A12EE1">
      <w:r>
        <w:t>5</w:t>
      </w:r>
      <w:r w:rsidR="00A12EE1">
        <w:t xml:space="preserve">Laboratory of Interfaces and Nanostructures, Eötvös L. University; </w:t>
      </w:r>
    </w:p>
    <w:p w:rsidR="00A12EE1" w:rsidRDefault="00A12EE1" w:rsidP="00A12EE1">
      <w:r>
        <w:t xml:space="preserve">5Department of Inorganic Chemistry, Eötvös L. University; </w:t>
      </w:r>
    </w:p>
    <w:p w:rsidR="00857364" w:rsidRDefault="00857364" w:rsidP="00A12EE1">
      <w:r>
        <w:t>6</w:t>
      </w:r>
      <w:r w:rsidR="004460DF" w:rsidRPr="004460DF">
        <w:t xml:space="preserve">National </w:t>
      </w:r>
      <w:proofErr w:type="spellStart"/>
      <w:r w:rsidR="004460DF" w:rsidRPr="004460DF">
        <w:t>Koranyi</w:t>
      </w:r>
      <w:proofErr w:type="spellEnd"/>
      <w:r w:rsidR="004460DF" w:rsidRPr="004460DF">
        <w:t xml:space="preserve"> Institute of TB and Pulmonology, Hungary</w:t>
      </w:r>
    </w:p>
    <w:p w:rsidR="00A12EE1" w:rsidRDefault="00A12EE1" w:rsidP="00A12EE1"/>
    <w:p w:rsidR="00A12EE1" w:rsidRDefault="00A12EE1"/>
    <w:p w:rsidR="00A12EE1" w:rsidRDefault="00A12EE1" w:rsidP="00857364">
      <w:pPr>
        <w:jc w:val="both"/>
      </w:pPr>
      <w:r>
        <w:t xml:space="preserve">Tuberculosis (TB) remains </w:t>
      </w:r>
      <w:r w:rsidR="00857364">
        <w:t>a major public health threat</w:t>
      </w:r>
      <w:r>
        <w:t xml:space="preserve">; the causative agent </w:t>
      </w:r>
      <w:r w:rsidRPr="00857364">
        <w:rPr>
          <w:i/>
        </w:rPr>
        <w:t>Mycobacterium tuberculosis</w:t>
      </w:r>
      <w:r w:rsidR="00360411">
        <w:t xml:space="preserve"> (</w:t>
      </w:r>
      <w:proofErr w:type="spellStart"/>
      <w:r w:rsidR="00360411" w:rsidRPr="00360411">
        <w:rPr>
          <w:i/>
        </w:rPr>
        <w:t>Mtb</w:t>
      </w:r>
      <w:proofErr w:type="spellEnd"/>
      <w:r>
        <w:t>) kills approximately two million people each year and is thought to latently infect one t</w:t>
      </w:r>
      <w:r w:rsidR="00857364">
        <w:t>hird of the world’s population</w:t>
      </w:r>
      <w:r>
        <w:t xml:space="preserve">. One of the most remarkable features of </w:t>
      </w:r>
      <w:proofErr w:type="spellStart"/>
      <w:r w:rsidR="00360411" w:rsidRPr="00360411">
        <w:rPr>
          <w:i/>
        </w:rPr>
        <w:t>Mtb</w:t>
      </w:r>
      <w:proofErr w:type="spellEnd"/>
      <w:r>
        <w:t xml:space="preserve"> is its ability to remain dormant within an individual for decades before reactivating [</w:t>
      </w:r>
      <w:r w:rsidR="00857364">
        <w:t>1-2</w:t>
      </w:r>
      <w:r>
        <w:t>]. Their non-replicating state make latent mycobacteria resistant to most of the drugs currently employed. The risk of developing active TB can be higher among persons with compromised immune systems (as seniors, transplant patients, HIV-positives, people with diabetes, cancer, autoimmune diseases etc.). Nontuberculous (atypical) mycobacteria (NTM) are increasingly recognized as causative agents of various opportunistic human infections most often originating from contaminated water supplies, and their incidence (skin, postoperative, etc., which is not limited to immunocompromised patients) is expected to rise. Their treatment is complicated with limited efficacy, e.g., due to the high levels of natural and acquired resistance [</w:t>
      </w:r>
      <w:r w:rsidR="00857364">
        <w:t>3</w:t>
      </w:r>
      <w:r>
        <w:t xml:space="preserve">]. Among them </w:t>
      </w:r>
      <w:r w:rsidRPr="00360411">
        <w:rPr>
          <w:i/>
        </w:rPr>
        <w:t xml:space="preserve">M. </w:t>
      </w:r>
      <w:proofErr w:type="spellStart"/>
      <w:r w:rsidRPr="00360411">
        <w:rPr>
          <w:i/>
        </w:rPr>
        <w:t>abscessus</w:t>
      </w:r>
      <w:proofErr w:type="spellEnd"/>
      <w:r>
        <w:t xml:space="preserve"> is the most </w:t>
      </w:r>
      <w:r w:rsidR="00857364">
        <w:t>resistant</w:t>
      </w:r>
      <w:r>
        <w:t xml:space="preserve">. </w:t>
      </w:r>
      <w:proofErr w:type="spellStart"/>
      <w:r w:rsidR="00360411" w:rsidRPr="00360411">
        <w:rPr>
          <w:i/>
        </w:rPr>
        <w:t>Mtb</w:t>
      </w:r>
      <w:proofErr w:type="spellEnd"/>
      <w:r>
        <w:t xml:space="preserve"> and NTM central nervous system infections take also a variety of forms (meningitis</w:t>
      </w:r>
      <w:r w:rsidR="00857364">
        <w:t>, meningoencephalitis etc.)</w:t>
      </w:r>
      <w:r>
        <w:t>. In addition, the increasing incidence of circulating multidrug-resistant (MDR) and extensively drug-resistant (XDR) TB strains threatens to return such era whe</w:t>
      </w:r>
      <w:r w:rsidR="00857364">
        <w:t>n half of TB patients died</w:t>
      </w:r>
      <w:r>
        <w:t xml:space="preserve"> and has prompted the need for new drugs, drug targets and drug delivery systems. </w:t>
      </w:r>
    </w:p>
    <w:p w:rsidR="00FF538D" w:rsidRDefault="00A12EE1" w:rsidP="00FF538D">
      <w:pPr>
        <w:jc w:val="both"/>
      </w:pPr>
      <w:r>
        <w:t>Mycobacteria as intracellular pathogens, are uniquely adapted and equipped to survive within host cells (mainly macrophages, dendritic an</w:t>
      </w:r>
      <w:r w:rsidR="00857364">
        <w:t>d epithelial cells etc.)</w:t>
      </w:r>
      <w:r>
        <w:t xml:space="preserve">; therefore their elimination could be more efficient with host cell directed delivery targeting host cell surface molecules and receptors (lectins, scavenger, </w:t>
      </w:r>
      <w:proofErr w:type="spellStart"/>
      <w:r>
        <w:t>tuftsin</w:t>
      </w:r>
      <w:proofErr w:type="spellEnd"/>
      <w:r>
        <w:t xml:space="preserve">, </w:t>
      </w:r>
      <w:proofErr w:type="spellStart"/>
      <w:r>
        <w:t>mannosyl</w:t>
      </w:r>
      <w:proofErr w:type="spellEnd"/>
      <w:r>
        <w:t>-,</w:t>
      </w:r>
      <w:proofErr w:type="spellStart"/>
      <w:r>
        <w:t>fucosyl</w:t>
      </w:r>
      <w:proofErr w:type="spellEnd"/>
      <w:r w:rsidR="00857364">
        <w:t xml:space="preserve"> receptors etc.)</w:t>
      </w:r>
      <w:r>
        <w:t xml:space="preserve">. Host cell specific drug delivery systems as peptide based </w:t>
      </w:r>
      <w:proofErr w:type="spellStart"/>
      <w:r>
        <w:t>bioconjugates</w:t>
      </w:r>
      <w:proofErr w:type="spellEnd"/>
      <w:r>
        <w:t xml:space="preserve"> and </w:t>
      </w:r>
      <w:proofErr w:type="spellStart"/>
      <w:r>
        <w:t>nanocarriers</w:t>
      </w:r>
      <w:proofErr w:type="spellEnd"/>
      <w:r>
        <w:t xml:space="preserve"> can be successfully implemented for improving the e</w:t>
      </w:r>
      <w:r w:rsidR="00857364">
        <w:t>fficacy of chemotherapy [4,5]</w:t>
      </w:r>
      <w:r w:rsidR="00910951">
        <w:t xml:space="preserve">. </w:t>
      </w:r>
      <w:r w:rsidR="00FF538D">
        <w:t xml:space="preserve">Isoniazid is a first-line </w:t>
      </w:r>
      <w:proofErr w:type="spellStart"/>
      <w:r w:rsidR="00FF538D">
        <w:t>antitubercular</w:t>
      </w:r>
      <w:proofErr w:type="spellEnd"/>
      <w:r w:rsidR="00FF538D">
        <w:t xml:space="preserve"> drug used for the treatment and prophylaxis of TB. While Isoniazid is active against extracellular </w:t>
      </w:r>
      <w:proofErr w:type="spellStart"/>
      <w:r w:rsidR="00FF538D" w:rsidRPr="00360411">
        <w:rPr>
          <w:i/>
        </w:rPr>
        <w:t>Mtb</w:t>
      </w:r>
      <w:proofErr w:type="spellEnd"/>
      <w:r w:rsidR="00FF538D">
        <w:t xml:space="preserve"> in the sub-</w:t>
      </w:r>
      <w:proofErr w:type="spellStart"/>
      <w:r w:rsidR="00FF538D">
        <w:t>micromolar</w:t>
      </w:r>
      <w:proofErr w:type="spellEnd"/>
      <w:r w:rsidR="00FF538D">
        <w:t xml:space="preserve"> range, the drug is not effective </w:t>
      </w:r>
      <w:r w:rsidR="00FF538D">
        <w:lastRenderedPageBreak/>
        <w:t xml:space="preserve">against the intracellular form even at 1000-times higher concentration1. Therefore, Isoniazid is a suitable model compound to study host-directed drug delivery and drug susceptibility of intracellular </w:t>
      </w:r>
      <w:proofErr w:type="spellStart"/>
      <w:r w:rsidR="00360411" w:rsidRPr="00360411">
        <w:rPr>
          <w:i/>
        </w:rPr>
        <w:t>Mtb</w:t>
      </w:r>
      <w:proofErr w:type="spellEnd"/>
      <w:r w:rsidR="00FF538D">
        <w:t>.</w:t>
      </w:r>
    </w:p>
    <w:p w:rsidR="00FF538D" w:rsidRDefault="00FF538D" w:rsidP="00FF538D">
      <w:pPr>
        <w:jc w:val="both"/>
      </w:pPr>
    </w:p>
    <w:p w:rsidR="00FF538D" w:rsidRDefault="00FF538D" w:rsidP="00FF538D">
      <w:pPr>
        <w:jc w:val="both"/>
      </w:pPr>
      <w:r>
        <w:t xml:space="preserve">To improve cell penetration ability and intracellular killing efficacy of Isoniazid, antimicrobial peptide (AMP) based carriers were employed. AMPs can </w:t>
      </w:r>
      <w:proofErr w:type="spellStart"/>
      <w:r>
        <w:t>permeabilise</w:t>
      </w:r>
      <w:proofErr w:type="spellEnd"/>
      <w:r>
        <w:t xml:space="preserve"> the phospholipid membrane and/or cell wall and provoke a broad spectrum of antimicrobial activity against bacteria, viruses, and fungi. Despite the fact that bacteria are frequently exposed to AMPs, manifestation of AMP resistance is </w:t>
      </w:r>
      <w:r w:rsidR="00360411">
        <w:t>extremely</w:t>
      </w:r>
      <w:r>
        <w:t xml:space="preserve"> low therefore an AMP-drug conjugates can act by multiple mode of antibacterial action without developing significant resistance. Nevertheless, internalization rate of the covalently attached drug to the host cells can be dramatica</w:t>
      </w:r>
      <w:r w:rsidR="00910951">
        <w:t>lly improved by AMP conjugation [6,7]</w:t>
      </w:r>
      <w:r>
        <w:t>.</w:t>
      </w:r>
    </w:p>
    <w:p w:rsidR="00F6615D" w:rsidRDefault="00F6615D" w:rsidP="00F6615D">
      <w:pPr>
        <w:jc w:val="both"/>
      </w:pPr>
      <w:r>
        <w:t xml:space="preserve">In this project, representative AMPs were employed as drug carriers and after careful in vitro </w:t>
      </w:r>
      <w:r w:rsidR="00360411">
        <w:t>evaluation</w:t>
      </w:r>
      <w:r>
        <w:t xml:space="preserve"> a promising antibacterial drug conjugate with potent penetrating ability, antibacterial effect and suitable selectivity was tested in vivo in </w:t>
      </w:r>
      <w:r w:rsidR="00360411" w:rsidRPr="00360411">
        <w:rPr>
          <w:i/>
        </w:rPr>
        <w:t>Mtb</w:t>
      </w:r>
      <w:bookmarkStart w:id="0" w:name="_GoBack"/>
      <w:bookmarkEnd w:id="0"/>
      <w:r>
        <w:t xml:space="preserve"> infected animal model.</w:t>
      </w:r>
    </w:p>
    <w:p w:rsidR="00F6615D" w:rsidRDefault="00F6615D" w:rsidP="00F6615D">
      <w:pPr>
        <w:jc w:val="both"/>
      </w:pPr>
    </w:p>
    <w:p w:rsidR="00F6615D" w:rsidRDefault="00F6615D" w:rsidP="00F6615D">
      <w:pPr>
        <w:jc w:val="both"/>
      </w:pPr>
      <w:r>
        <w:t xml:space="preserve">Acknowledgements: This study was supported by Hungarian Scientific Research Fund (OTKA 104275, 115431, 124077), </w:t>
      </w:r>
      <w:proofErr w:type="spellStart"/>
      <w:r>
        <w:t>MedInProt</w:t>
      </w:r>
      <w:proofErr w:type="spellEnd"/>
      <w:r>
        <w:t xml:space="preserve"> Protein Science Research Synergy Program and </w:t>
      </w:r>
      <w:proofErr w:type="spellStart"/>
      <w:r>
        <w:t>Bolyai</w:t>
      </w:r>
      <w:proofErr w:type="spellEnd"/>
      <w:r>
        <w:t xml:space="preserve"> </w:t>
      </w:r>
      <w:proofErr w:type="spellStart"/>
      <w:r>
        <w:t>János</w:t>
      </w:r>
      <w:proofErr w:type="spellEnd"/>
      <w:r>
        <w:t xml:space="preserve"> Research Fellowship of the Hungarian Academy of Sciences.</w:t>
      </w:r>
      <w:r w:rsidR="003E6E26">
        <w:t xml:space="preserve"> Study is</w:t>
      </w:r>
      <w:r w:rsidR="003E6E26" w:rsidRPr="003E6E26">
        <w:t xml:space="preserve"> co-financed by the European Regional Development Fu</w:t>
      </w:r>
      <w:r w:rsidR="003E6E26">
        <w:t xml:space="preserve">nd (VEKOP-2.3.3-15-2017-00020) and </w:t>
      </w:r>
      <w:r w:rsidR="003E6E26" w:rsidRPr="003E6E26">
        <w:t>the ELTE Institutional Excellence Program (783-3/2018/FEKUTSRAT) supported by the Hungarian Ministry of Human Capacities.</w:t>
      </w:r>
    </w:p>
    <w:p w:rsidR="00F6615D" w:rsidRDefault="00F6615D" w:rsidP="00F6615D">
      <w:pPr>
        <w:jc w:val="both"/>
      </w:pPr>
    </w:p>
    <w:p w:rsidR="00F6615D" w:rsidRDefault="00F6615D" w:rsidP="00F6615D">
      <w:pPr>
        <w:jc w:val="both"/>
      </w:pPr>
      <w:r>
        <w:t>References:</w:t>
      </w:r>
    </w:p>
    <w:p w:rsidR="00FF538D" w:rsidRDefault="00FF538D" w:rsidP="00857364">
      <w:pPr>
        <w:jc w:val="both"/>
      </w:pPr>
    </w:p>
    <w:p w:rsidR="00A12EE1" w:rsidRDefault="00A12EE1" w:rsidP="00857364">
      <w:pPr>
        <w:jc w:val="both"/>
      </w:pPr>
    </w:p>
    <w:p w:rsidR="00A12EE1" w:rsidRDefault="00857364" w:rsidP="00857364">
      <w:pPr>
        <w:jc w:val="both"/>
      </w:pPr>
      <w:r>
        <w:t>1</w:t>
      </w:r>
      <w:r w:rsidR="00A12EE1">
        <w:t>.</w:t>
      </w:r>
      <w:r w:rsidR="00A12EE1">
        <w:tab/>
      </w:r>
      <w:proofErr w:type="spellStart"/>
      <w:r w:rsidR="00A12EE1">
        <w:t>Pieters</w:t>
      </w:r>
      <w:proofErr w:type="spellEnd"/>
      <w:r w:rsidR="00A12EE1">
        <w:t xml:space="preserve">, J. and J. </w:t>
      </w:r>
      <w:proofErr w:type="spellStart"/>
      <w:r w:rsidR="00A12EE1">
        <w:t>Gatfield</w:t>
      </w:r>
      <w:proofErr w:type="spellEnd"/>
      <w:r w:rsidR="00A12EE1">
        <w:t>, Hijacking the host: survival of pathogenic mycobacteria inside macrophages. Trends in Microbiology. 10(3): p. 142-146.</w:t>
      </w:r>
    </w:p>
    <w:p w:rsidR="00A12EE1" w:rsidRDefault="00857364" w:rsidP="00857364">
      <w:pPr>
        <w:jc w:val="both"/>
      </w:pPr>
      <w:r>
        <w:t>2</w:t>
      </w:r>
      <w:r w:rsidR="00A12EE1">
        <w:t>.</w:t>
      </w:r>
      <w:r w:rsidR="00A12EE1">
        <w:tab/>
      </w:r>
      <w:proofErr w:type="spellStart"/>
      <w:r w:rsidR="00A12EE1">
        <w:t>Queval</w:t>
      </w:r>
      <w:proofErr w:type="spellEnd"/>
      <w:r w:rsidR="00A12EE1">
        <w:t xml:space="preserve">, C.J., R. </w:t>
      </w:r>
      <w:proofErr w:type="spellStart"/>
      <w:r w:rsidR="00A12EE1">
        <w:t>Brosch</w:t>
      </w:r>
      <w:proofErr w:type="spellEnd"/>
      <w:r w:rsidR="00A12EE1">
        <w:t xml:space="preserve">, and R. </w:t>
      </w:r>
      <w:proofErr w:type="spellStart"/>
      <w:r w:rsidR="00A12EE1">
        <w:t>Simeone</w:t>
      </w:r>
      <w:proofErr w:type="spellEnd"/>
      <w:r w:rsidR="00A12EE1">
        <w:t>, The Macrophage: A Disputed Fortress in the Battle against Mycobacterium tuberculosis. Frontiers in Microbiology, 2017. 8(2284).</w:t>
      </w:r>
    </w:p>
    <w:p w:rsidR="00857364" w:rsidRDefault="00857364" w:rsidP="00857364">
      <w:pPr>
        <w:jc w:val="both"/>
      </w:pPr>
      <w:r>
        <w:t>3.</w:t>
      </w:r>
      <w:r>
        <w:tab/>
      </w:r>
      <w:r w:rsidRPr="00857364">
        <w:t>Muller, B., et al., The heterogeneous evolution of multidrug-resistant Mycobacterium tuberculosis. Trends Genet, 2013. 29(3): p. 160-9.</w:t>
      </w:r>
    </w:p>
    <w:p w:rsidR="00A12EE1" w:rsidRDefault="00A12EE1" w:rsidP="00857364">
      <w:pPr>
        <w:jc w:val="both"/>
      </w:pPr>
      <w:r>
        <w:t>4.</w:t>
      </w:r>
      <w:r>
        <w:tab/>
        <w:t xml:space="preserve">da Silva, P.B., et al., Nanotechnology-Based Drug Delivery Systems for Treatment of Tuberculosis--A Review. J Biomed </w:t>
      </w:r>
      <w:proofErr w:type="spellStart"/>
      <w:r>
        <w:t>Nanotechnol</w:t>
      </w:r>
      <w:proofErr w:type="spellEnd"/>
      <w:r>
        <w:t>, 2016. 12(2): p. 241-60.</w:t>
      </w:r>
    </w:p>
    <w:p w:rsidR="00A12EE1" w:rsidRDefault="00A12EE1" w:rsidP="00857364">
      <w:pPr>
        <w:jc w:val="both"/>
      </w:pPr>
      <w:r>
        <w:t>5.</w:t>
      </w:r>
      <w:r>
        <w:tab/>
        <w:t xml:space="preserve">Du, A.W. and M.H. </w:t>
      </w:r>
      <w:proofErr w:type="spellStart"/>
      <w:r>
        <w:t>Stenzel</w:t>
      </w:r>
      <w:proofErr w:type="spellEnd"/>
      <w:r>
        <w:t xml:space="preserve">, Drug carriers for the delivery of therapeutic peptides. </w:t>
      </w:r>
      <w:proofErr w:type="spellStart"/>
      <w:r>
        <w:t>Biomacromolecules</w:t>
      </w:r>
      <w:proofErr w:type="spellEnd"/>
      <w:r>
        <w:t>, 2014. 15(4): p. 1097-114.</w:t>
      </w:r>
    </w:p>
    <w:p w:rsidR="00910951" w:rsidRDefault="00910951" w:rsidP="00910951">
      <w:pPr>
        <w:jc w:val="both"/>
      </w:pPr>
      <w:r>
        <w:t>6.</w:t>
      </w:r>
      <w:r>
        <w:tab/>
      </w:r>
      <w:proofErr w:type="spellStart"/>
      <w:r>
        <w:t>Horváti</w:t>
      </w:r>
      <w:proofErr w:type="spellEnd"/>
      <w:r>
        <w:t xml:space="preserve"> K. et al. (2014) </w:t>
      </w:r>
      <w:proofErr w:type="spellStart"/>
      <w:r>
        <w:t>Bioconjug</w:t>
      </w:r>
      <w:proofErr w:type="spellEnd"/>
      <w:r>
        <w:t xml:space="preserve"> Chem. 25(12):2260.</w:t>
      </w:r>
    </w:p>
    <w:p w:rsidR="00910951" w:rsidRDefault="00910951" w:rsidP="00910951">
      <w:pPr>
        <w:jc w:val="both"/>
      </w:pPr>
      <w:r>
        <w:t>7.</w:t>
      </w:r>
      <w:r>
        <w:tab/>
      </w:r>
      <w:proofErr w:type="spellStart"/>
      <w:r>
        <w:t>Horváti</w:t>
      </w:r>
      <w:proofErr w:type="spellEnd"/>
      <w:r>
        <w:t xml:space="preserve"> K. et al. (2017) Amino Acids 49(6):1053.</w:t>
      </w:r>
    </w:p>
    <w:p w:rsidR="00910951" w:rsidRDefault="00910951" w:rsidP="00857364">
      <w:pPr>
        <w:jc w:val="both"/>
      </w:pPr>
    </w:p>
    <w:sectPr w:rsidR="00910951">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9E8"/>
    <w:rsid w:val="00360411"/>
    <w:rsid w:val="003E6E26"/>
    <w:rsid w:val="004460DF"/>
    <w:rsid w:val="00463EB5"/>
    <w:rsid w:val="004834AD"/>
    <w:rsid w:val="006D722F"/>
    <w:rsid w:val="007F79E8"/>
    <w:rsid w:val="00857364"/>
    <w:rsid w:val="00910951"/>
    <w:rsid w:val="00A12EE1"/>
    <w:rsid w:val="00EE1F08"/>
    <w:rsid w:val="00F6615D"/>
    <w:rsid w:val="00FF5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84D26"/>
  <w15:docId w15:val="{E5D64A07-5C97-43BB-8234-5663EAD87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822</Words>
  <Characters>4686</Characters>
  <Application>Microsoft Office Word</Application>
  <DocSecurity>0</DocSecurity>
  <Lines>39</Lines>
  <Paragraphs>10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stipsicz</cp:lastModifiedBy>
  <cp:revision>3</cp:revision>
  <dcterms:created xsi:type="dcterms:W3CDTF">2021-06-07T16:18:00Z</dcterms:created>
  <dcterms:modified xsi:type="dcterms:W3CDTF">2021-06-07T16:21:00Z</dcterms:modified>
</cp:coreProperties>
</file>